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85" w:rsidRPr="00592985" w:rsidRDefault="00592985" w:rsidP="00592985">
      <w:pPr>
        <w:spacing w:after="450" w:line="240" w:lineRule="auto"/>
        <w:outlineLvl w:val="0"/>
        <w:rPr>
          <w:rFonts w:ascii="Arial" w:eastAsia="Times New Roman" w:hAnsi="Arial" w:cs="Arial"/>
          <w:color w:val="111111"/>
          <w:kern w:val="36"/>
          <w:sz w:val="48"/>
          <w:szCs w:val="48"/>
          <w:lang w:eastAsia="tr-TR"/>
        </w:rPr>
      </w:pPr>
      <w:proofErr w:type="spellStart"/>
      <w:r w:rsidRPr="00592985">
        <w:rPr>
          <w:rFonts w:ascii="Arial" w:eastAsia="Times New Roman" w:hAnsi="Arial" w:cs="Arial"/>
          <w:color w:val="111111"/>
          <w:kern w:val="36"/>
          <w:sz w:val="48"/>
          <w:szCs w:val="48"/>
          <w:lang w:eastAsia="tr-TR"/>
        </w:rPr>
        <w:t>Özelge</w:t>
      </w:r>
      <w:proofErr w:type="spellEnd"/>
      <w:r w:rsidRPr="00592985">
        <w:rPr>
          <w:rFonts w:ascii="Arial" w:eastAsia="Times New Roman" w:hAnsi="Arial" w:cs="Arial"/>
          <w:color w:val="111111"/>
          <w:kern w:val="36"/>
          <w:sz w:val="48"/>
          <w:szCs w:val="48"/>
          <w:lang w:eastAsia="tr-TR"/>
        </w:rPr>
        <w:t xml:space="preserve">: Merkezi Türkiye'de bulunan firmanın yurtdışındaki şubesi aracılığıyla yapılan inşaat işinden sağlanan kazancın kurumlar vergisinden istisnası </w:t>
      </w:r>
      <w:proofErr w:type="spellStart"/>
      <w:r w:rsidRPr="00592985">
        <w:rPr>
          <w:rFonts w:ascii="Arial" w:eastAsia="Times New Roman" w:hAnsi="Arial" w:cs="Arial"/>
          <w:color w:val="111111"/>
          <w:kern w:val="36"/>
          <w:sz w:val="48"/>
          <w:szCs w:val="48"/>
          <w:lang w:eastAsia="tr-TR"/>
        </w:rPr>
        <w:t>hk</w:t>
      </w:r>
      <w:proofErr w:type="spellEnd"/>
      <w:r w:rsidRPr="00592985">
        <w:rPr>
          <w:rFonts w:ascii="Arial" w:eastAsia="Times New Roman" w:hAnsi="Arial" w:cs="Arial"/>
          <w:color w:val="111111"/>
          <w:kern w:val="36"/>
          <w:sz w:val="48"/>
          <w:szCs w:val="48"/>
          <w:lang w:eastAsia="tr-TR"/>
        </w:rPr>
        <w:t xml:space="preserve">. </w:t>
      </w:r>
    </w:p>
    <w:p w:rsidR="00592985" w:rsidRPr="00592985" w:rsidRDefault="00592985" w:rsidP="00592985">
      <w:pPr>
        <w:spacing w:after="0" w:line="240" w:lineRule="auto"/>
        <w:rPr>
          <w:rFonts w:ascii="Arial" w:eastAsia="Times New Roman" w:hAnsi="Arial" w:cs="Arial"/>
          <w:color w:val="777777"/>
          <w:sz w:val="20"/>
          <w:szCs w:val="20"/>
          <w:lang w:eastAsia="tr-TR"/>
        </w:rPr>
      </w:pPr>
      <w:r w:rsidRPr="00592985">
        <w:rPr>
          <w:rFonts w:ascii="Arial" w:eastAsia="Times New Roman" w:hAnsi="Arial" w:cs="Arial"/>
          <w:i/>
          <w:color w:val="777777"/>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92985" w:rsidRPr="00592985" w:rsidRDefault="00592985" w:rsidP="00592985">
      <w:pPr>
        <w:spacing w:after="0" w:line="240" w:lineRule="auto"/>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pict>
          <v:rect id="_x0000_i1026" style="width:0;height:1.5pt" o:hralign="center" o:hrstd="t" o:hr="t" fillcolor="#a0a0a0" stroked="f"/>
        </w:pict>
      </w:r>
    </w:p>
    <w:p w:rsidR="00592985" w:rsidRPr="00592985" w:rsidRDefault="00592985" w:rsidP="00592985">
      <w:pPr>
        <w:spacing w:after="450" w:line="240" w:lineRule="auto"/>
        <w:outlineLvl w:val="1"/>
        <w:rPr>
          <w:rFonts w:ascii="Arial" w:eastAsia="Times New Roman" w:hAnsi="Arial" w:cs="Arial"/>
          <w:color w:val="111111"/>
          <w:sz w:val="41"/>
          <w:szCs w:val="41"/>
          <w:lang w:eastAsia="tr-TR"/>
        </w:rPr>
      </w:pPr>
      <w:r w:rsidRPr="00592985">
        <w:rPr>
          <w:rFonts w:ascii="Arial" w:eastAsia="Times New Roman" w:hAnsi="Arial" w:cs="Arial"/>
          <w:color w:val="111111"/>
          <w:sz w:val="41"/>
          <w:szCs w:val="41"/>
          <w:lang w:eastAsia="tr-TR"/>
        </w:rPr>
        <w:t>Birincil sekmeler</w:t>
      </w:r>
    </w:p>
    <w:p w:rsidR="00592985" w:rsidRPr="00592985" w:rsidRDefault="00592985" w:rsidP="00592985">
      <w:pPr>
        <w:numPr>
          <w:ilvl w:val="0"/>
          <w:numId w:val="1"/>
        </w:numPr>
        <w:spacing w:before="100" w:beforeAutospacing="1" w:after="100" w:afterAutospacing="1" w:line="330" w:lineRule="atLeast"/>
        <w:rPr>
          <w:rFonts w:ascii="Arial" w:eastAsia="Times New Roman" w:hAnsi="Arial" w:cs="Arial"/>
          <w:color w:val="777777"/>
          <w:sz w:val="20"/>
          <w:szCs w:val="20"/>
          <w:lang w:eastAsia="tr-TR"/>
        </w:rPr>
      </w:pPr>
      <w:hyperlink r:id="rId5" w:history="1">
        <w:r w:rsidRPr="00592985">
          <w:rPr>
            <w:rFonts w:ascii="Arial" w:eastAsia="Times New Roman" w:hAnsi="Arial" w:cs="Arial"/>
            <w:color w:val="666666"/>
            <w:sz w:val="20"/>
            <w:szCs w:val="20"/>
            <w:lang w:eastAsia="tr-TR"/>
          </w:rPr>
          <w:t>Görüntüle</w:t>
        </w:r>
        <w:r w:rsidRPr="00592985">
          <w:rPr>
            <w:rFonts w:ascii="Arial" w:eastAsia="Times New Roman" w:hAnsi="Arial" w:cs="Arial"/>
            <w:color w:val="666666"/>
            <w:sz w:val="20"/>
            <w:lang w:eastAsia="tr-TR"/>
          </w:rPr>
          <w:t>(etkin sekme)</w:t>
        </w:r>
      </w:hyperlink>
    </w:p>
    <w:p w:rsidR="00592985" w:rsidRPr="00592985" w:rsidRDefault="00592985" w:rsidP="00592985">
      <w:pPr>
        <w:numPr>
          <w:ilvl w:val="0"/>
          <w:numId w:val="1"/>
        </w:numPr>
        <w:spacing w:before="100" w:beforeAutospacing="1" w:after="100" w:afterAutospacing="1" w:line="330" w:lineRule="atLeast"/>
        <w:rPr>
          <w:rFonts w:ascii="Arial" w:eastAsia="Times New Roman" w:hAnsi="Arial" w:cs="Arial"/>
          <w:color w:val="777777"/>
          <w:sz w:val="20"/>
          <w:szCs w:val="20"/>
          <w:lang w:eastAsia="tr-TR"/>
        </w:rPr>
      </w:pPr>
      <w:hyperlink r:id="rId6" w:history="1">
        <w:r w:rsidRPr="00592985">
          <w:rPr>
            <w:rFonts w:ascii="Arial" w:eastAsia="Times New Roman" w:hAnsi="Arial" w:cs="Arial"/>
            <w:color w:val="666666"/>
            <w:sz w:val="20"/>
            <w:szCs w:val="20"/>
            <w:lang w:eastAsia="tr-TR"/>
          </w:rPr>
          <w:t>PDF Biçiminde İndir</w:t>
        </w:r>
      </w:hyperlink>
    </w:p>
    <w:p w:rsidR="00592985" w:rsidRPr="00592985" w:rsidRDefault="00592985" w:rsidP="00592985">
      <w:pPr>
        <w:spacing w:after="450" w:line="240" w:lineRule="auto"/>
        <w:outlineLvl w:val="3"/>
        <w:rPr>
          <w:rFonts w:ascii="Arial" w:eastAsia="Times New Roman" w:hAnsi="Arial" w:cs="Arial"/>
          <w:color w:val="111111"/>
          <w:sz w:val="24"/>
          <w:szCs w:val="24"/>
          <w:lang w:eastAsia="tr-TR"/>
        </w:rPr>
      </w:pPr>
      <w:proofErr w:type="spellStart"/>
      <w:r w:rsidRPr="00592985">
        <w:rPr>
          <w:rFonts w:ascii="Arial" w:eastAsia="Times New Roman" w:hAnsi="Arial" w:cs="Arial"/>
          <w:color w:val="111111"/>
          <w:sz w:val="24"/>
          <w:szCs w:val="24"/>
          <w:lang w:eastAsia="tr-TR"/>
        </w:rPr>
        <w:t>Özelge</w:t>
      </w:r>
      <w:proofErr w:type="spellEnd"/>
      <w:r w:rsidRPr="00592985">
        <w:rPr>
          <w:rFonts w:ascii="Arial" w:eastAsia="Times New Roman" w:hAnsi="Arial" w:cs="Arial"/>
          <w:color w:val="111111"/>
          <w:sz w:val="24"/>
          <w:szCs w:val="24"/>
          <w:lang w:eastAsia="tr-TR"/>
        </w:rPr>
        <w:t xml:space="preserve">: Merkezi Türkiye'de bulunan firmanın yurtdışındaki şubesi aracılığıyla yapılan inşaat işinden sağlanan kazancın kurumlar vergisinden istisnası </w:t>
      </w:r>
      <w:proofErr w:type="spellStart"/>
      <w:r w:rsidRPr="00592985">
        <w:rPr>
          <w:rFonts w:ascii="Arial" w:eastAsia="Times New Roman" w:hAnsi="Arial" w:cs="Arial"/>
          <w:color w:val="111111"/>
          <w:sz w:val="24"/>
          <w:szCs w:val="24"/>
          <w:lang w:eastAsia="tr-TR"/>
        </w:rPr>
        <w:t>hk</w:t>
      </w:r>
      <w:proofErr w:type="spellEnd"/>
      <w:r w:rsidRPr="00592985">
        <w:rPr>
          <w:rFonts w:ascii="Arial" w:eastAsia="Times New Roman" w:hAnsi="Arial" w:cs="Arial"/>
          <w:color w:val="111111"/>
          <w:sz w:val="24"/>
          <w:szCs w:val="24"/>
          <w:lang w:eastAsia="tr-TR"/>
        </w:rPr>
        <w:t>.</w:t>
      </w:r>
    </w:p>
    <w:p w:rsidR="00592985" w:rsidRPr="00592985" w:rsidRDefault="00592985" w:rsidP="00592985">
      <w:pPr>
        <w:spacing w:after="0" w:line="330" w:lineRule="atLeast"/>
        <w:rPr>
          <w:rFonts w:ascii="Arial" w:eastAsia="Times New Roman" w:hAnsi="Arial" w:cs="Arial"/>
          <w:color w:val="777777"/>
          <w:sz w:val="20"/>
          <w:szCs w:val="20"/>
          <w:lang w:eastAsia="tr-TR"/>
        </w:rPr>
      </w:pPr>
      <w:hyperlink r:id="rId7" w:tgtFrame="_blank" w:tooltip="PDF Formatında İndir" w:history="1">
        <w:r w:rsidRPr="00592985">
          <w:rPr>
            <w:rFonts w:ascii="Times New Roman" w:eastAsia="Times New Roman" w:hAnsi="Times New Roman" w:cs="Times New Roman"/>
            <w:color w:val="E6474E"/>
            <w:sz w:val="20"/>
            <w:lang w:eastAsia="tr-TR"/>
          </w:rPr>
          <w:t>PDF Biçiminde İndir</w:t>
        </w:r>
      </w:hyperlink>
    </w:p>
    <w:p w:rsidR="00592985" w:rsidRPr="00592985" w:rsidRDefault="00592985" w:rsidP="00592985">
      <w:pPr>
        <w:spacing w:after="0" w:line="330" w:lineRule="atLeast"/>
        <w:rPr>
          <w:rFonts w:ascii="Arial" w:eastAsia="Times New Roman" w:hAnsi="Arial" w:cs="Arial"/>
          <w:color w:val="777777"/>
          <w:sz w:val="20"/>
          <w:szCs w:val="20"/>
          <w:lang w:eastAsia="tr-TR"/>
        </w:rPr>
      </w:pPr>
      <w:hyperlink r:id="rId8" w:tooltip="Yazdır" w:history="1">
        <w:r w:rsidRPr="00592985">
          <w:rPr>
            <w:rFonts w:ascii="Times New Roman" w:eastAsia="Times New Roman" w:hAnsi="Times New Roman" w:cs="Times New Roman"/>
            <w:color w:val="E6474E"/>
            <w:sz w:val="20"/>
            <w:lang w:eastAsia="tr-TR"/>
          </w:rPr>
          <w:t>Yazdır</w:t>
        </w:r>
      </w:hyperlink>
    </w:p>
    <w:p w:rsidR="00592985" w:rsidRPr="00592985" w:rsidRDefault="00592985" w:rsidP="00592985">
      <w:pPr>
        <w:spacing w:after="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Sayı: </w:t>
      </w:r>
    </w:p>
    <w:p w:rsidR="00592985" w:rsidRPr="00592985" w:rsidRDefault="00592985" w:rsidP="00592985">
      <w:pPr>
        <w:spacing w:after="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B.</w:t>
      </w:r>
      <w:proofErr w:type="gramStart"/>
      <w:r w:rsidRPr="00592985">
        <w:rPr>
          <w:rFonts w:ascii="Arial" w:eastAsia="Times New Roman" w:hAnsi="Arial" w:cs="Arial"/>
          <w:color w:val="777777"/>
          <w:sz w:val="20"/>
          <w:szCs w:val="20"/>
          <w:lang w:eastAsia="tr-TR"/>
        </w:rPr>
        <w:t>07.1</w:t>
      </w:r>
      <w:proofErr w:type="gramEnd"/>
      <w:r w:rsidRPr="00592985">
        <w:rPr>
          <w:rFonts w:ascii="Arial" w:eastAsia="Times New Roman" w:hAnsi="Arial" w:cs="Arial"/>
          <w:color w:val="777777"/>
          <w:sz w:val="20"/>
          <w:szCs w:val="20"/>
          <w:lang w:eastAsia="tr-TR"/>
        </w:rPr>
        <w:t>.GİB.4.34.16.01-KVK 5-389</w:t>
      </w:r>
    </w:p>
    <w:p w:rsidR="00592985" w:rsidRPr="00592985" w:rsidRDefault="00592985" w:rsidP="00592985">
      <w:pPr>
        <w:spacing w:after="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Tarih: </w:t>
      </w:r>
    </w:p>
    <w:p w:rsidR="00592985" w:rsidRPr="00592985" w:rsidRDefault="00592985" w:rsidP="00592985">
      <w:pPr>
        <w:spacing w:after="0" w:line="330" w:lineRule="atLeast"/>
        <w:rPr>
          <w:rFonts w:ascii="Arial" w:eastAsia="Times New Roman" w:hAnsi="Arial" w:cs="Arial"/>
          <w:color w:val="777777"/>
          <w:sz w:val="20"/>
          <w:szCs w:val="20"/>
          <w:lang w:eastAsia="tr-TR"/>
        </w:rPr>
      </w:pPr>
      <w:proofErr w:type="gramStart"/>
      <w:r w:rsidRPr="00592985">
        <w:rPr>
          <w:rFonts w:ascii="Arial" w:eastAsia="Times New Roman" w:hAnsi="Arial" w:cs="Arial"/>
          <w:color w:val="777777"/>
          <w:sz w:val="20"/>
          <w:lang w:eastAsia="tr-TR"/>
        </w:rPr>
        <w:t>28/04/2011</w:t>
      </w:r>
      <w:proofErr w:type="gramEnd"/>
    </w:p>
    <w:p w:rsidR="00592985" w:rsidRPr="00592985" w:rsidRDefault="00592985" w:rsidP="00592985">
      <w:pPr>
        <w:spacing w:after="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  </w:t>
      </w:r>
    </w:p>
    <w:tbl>
      <w:tblPr>
        <w:tblW w:w="0" w:type="auto"/>
        <w:tblCellSpacing w:w="0" w:type="dxa"/>
        <w:tblCellMar>
          <w:left w:w="0" w:type="dxa"/>
          <w:right w:w="0" w:type="dxa"/>
        </w:tblCellMar>
        <w:tblLook w:val="04A0"/>
      </w:tblPr>
      <w:tblGrid>
        <w:gridCol w:w="901"/>
        <w:gridCol w:w="446"/>
        <w:gridCol w:w="3765"/>
        <w:gridCol w:w="2030"/>
        <w:gridCol w:w="2320"/>
      </w:tblGrid>
      <w:tr w:rsidR="00592985" w:rsidRPr="00592985" w:rsidTr="00592985">
        <w:trPr>
          <w:tblCellSpacing w:w="0" w:type="dxa"/>
        </w:trPr>
        <w:tc>
          <w:tcPr>
            <w:tcW w:w="9195" w:type="dxa"/>
            <w:gridSpan w:val="5"/>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T.C.</w:t>
            </w:r>
          </w:p>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GELİR İDARESİ BAŞKANLIĞI</w:t>
            </w:r>
          </w:p>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İSTANBUL VERGİ DAİRESİ BAŞKANLIĞI</w:t>
            </w:r>
          </w:p>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(Mükellef Hizmetleri Gelir Vergileri Grup Müdürlüğü)</w:t>
            </w:r>
          </w:p>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c>
      </w:tr>
      <w:tr w:rsidR="00592985" w:rsidRPr="00592985" w:rsidTr="00592985">
        <w:trPr>
          <w:tblCellSpacing w:w="0" w:type="dxa"/>
        </w:trPr>
        <w:tc>
          <w:tcPr>
            <w:tcW w:w="4650" w:type="dxa"/>
            <w:gridSpan w:val="3"/>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c>
      </w:tr>
      <w:tr w:rsidR="00592985" w:rsidRPr="00592985" w:rsidTr="00592985">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Sayı</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w:t>
            </w:r>
          </w:p>
        </w:tc>
        <w:tc>
          <w:tcPr>
            <w:tcW w:w="6030"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B.</w:t>
            </w:r>
            <w:proofErr w:type="gramStart"/>
            <w:r w:rsidRPr="00592985">
              <w:rPr>
                <w:rFonts w:ascii="Arial" w:eastAsia="Times New Roman" w:hAnsi="Arial" w:cs="Arial"/>
                <w:color w:val="777777"/>
                <w:sz w:val="20"/>
                <w:szCs w:val="20"/>
                <w:lang w:eastAsia="tr-TR"/>
              </w:rPr>
              <w:t>07.1</w:t>
            </w:r>
            <w:proofErr w:type="gramEnd"/>
            <w:r w:rsidRPr="00592985">
              <w:rPr>
                <w:rFonts w:ascii="Arial" w:eastAsia="Times New Roman" w:hAnsi="Arial" w:cs="Arial"/>
                <w:color w:val="777777"/>
                <w:sz w:val="20"/>
                <w:szCs w:val="20"/>
                <w:lang w:eastAsia="tr-TR"/>
              </w:rPr>
              <w:t>.GİB.4.34.16.01-KVK 5-389</w:t>
            </w:r>
          </w:p>
        </w:tc>
        <w:tc>
          <w:tcPr>
            <w:tcW w:w="238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proofErr w:type="gramStart"/>
            <w:r w:rsidRPr="00592985">
              <w:rPr>
                <w:rFonts w:ascii="Arial" w:eastAsia="Times New Roman" w:hAnsi="Arial" w:cs="Arial"/>
                <w:color w:val="777777"/>
                <w:sz w:val="20"/>
                <w:szCs w:val="20"/>
                <w:lang w:eastAsia="tr-TR"/>
              </w:rPr>
              <w:t>28/04/2011</w:t>
            </w:r>
            <w:proofErr w:type="gramEnd"/>
          </w:p>
        </w:tc>
      </w:tr>
      <w:tr w:rsidR="00592985" w:rsidRPr="00592985" w:rsidTr="00592985">
        <w:trPr>
          <w:tblCellSpacing w:w="0" w:type="dxa"/>
        </w:trPr>
        <w:tc>
          <w:tcPr>
            <w:tcW w:w="66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lastRenderedPageBreak/>
              <w:t>Konu</w:t>
            </w:r>
          </w:p>
        </w:tc>
        <w:tc>
          <w:tcPr>
            <w:tcW w:w="12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w:t>
            </w:r>
          </w:p>
        </w:tc>
        <w:tc>
          <w:tcPr>
            <w:tcW w:w="3870"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Merkezi Türkiye'de bulunan firmanın yurtdışındaki şubesi aracılığıyla yapılan inşaat işinden sağlanan kazancın kurumlar vergisinden istisnası.</w:t>
            </w:r>
          </w:p>
        </w:tc>
        <w:tc>
          <w:tcPr>
            <w:tcW w:w="4545" w:type="dxa"/>
            <w:gridSpan w:val="2"/>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c>
      </w:tr>
    </w:tbl>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İlgide kayıtlı </w:t>
      </w:r>
      <w:proofErr w:type="spellStart"/>
      <w:r w:rsidRPr="00592985">
        <w:rPr>
          <w:rFonts w:ascii="Arial" w:eastAsia="Times New Roman" w:hAnsi="Arial" w:cs="Arial"/>
          <w:color w:val="777777"/>
          <w:sz w:val="20"/>
          <w:szCs w:val="20"/>
          <w:lang w:eastAsia="tr-TR"/>
        </w:rPr>
        <w:t>özelge</w:t>
      </w:r>
      <w:proofErr w:type="spellEnd"/>
      <w:r w:rsidRPr="00592985">
        <w:rPr>
          <w:rFonts w:ascii="Arial" w:eastAsia="Times New Roman" w:hAnsi="Arial" w:cs="Arial"/>
          <w:color w:val="777777"/>
          <w:sz w:val="20"/>
          <w:szCs w:val="20"/>
          <w:lang w:eastAsia="tr-TR"/>
        </w:rPr>
        <w:t xml:space="preserve"> talep formunuzda, ... Vergi Dairesi </w:t>
      </w:r>
      <w:proofErr w:type="gramStart"/>
      <w:r w:rsidRPr="00592985">
        <w:rPr>
          <w:rFonts w:ascii="Arial" w:eastAsia="Times New Roman" w:hAnsi="Arial" w:cs="Arial"/>
          <w:color w:val="777777"/>
          <w:sz w:val="20"/>
          <w:szCs w:val="20"/>
          <w:lang w:eastAsia="tr-TR"/>
        </w:rPr>
        <w:t>Müdürlüğü'nün ...</w:t>
      </w:r>
      <w:proofErr w:type="gramEnd"/>
      <w:r w:rsidRPr="00592985">
        <w:rPr>
          <w:rFonts w:ascii="Arial" w:eastAsia="Times New Roman" w:hAnsi="Arial" w:cs="Arial"/>
          <w:color w:val="777777"/>
          <w:sz w:val="20"/>
          <w:szCs w:val="20"/>
          <w:lang w:eastAsia="tr-TR"/>
        </w:rPr>
        <w:t xml:space="preserve"> </w:t>
      </w:r>
      <w:proofErr w:type="gramStart"/>
      <w:r w:rsidRPr="00592985">
        <w:rPr>
          <w:rFonts w:ascii="Arial" w:eastAsia="Times New Roman" w:hAnsi="Arial" w:cs="Arial"/>
          <w:color w:val="777777"/>
          <w:sz w:val="20"/>
          <w:szCs w:val="20"/>
          <w:lang w:eastAsia="tr-TR"/>
        </w:rPr>
        <w:t>vergi</w:t>
      </w:r>
      <w:proofErr w:type="gramEnd"/>
      <w:r w:rsidRPr="00592985">
        <w:rPr>
          <w:rFonts w:ascii="Arial" w:eastAsia="Times New Roman" w:hAnsi="Arial" w:cs="Arial"/>
          <w:color w:val="777777"/>
          <w:sz w:val="20"/>
          <w:szCs w:val="20"/>
          <w:lang w:eastAsia="tr-TR"/>
        </w:rPr>
        <w:t xml:space="preserve"> kimlik numaralı mükellefi olduğunuzu, inşaat işi ile iştigal eden şirketinizin Gürcistan'da şubesinin olduğunu ve bu ülkede bulunan inşaat işinden dolayı adı geçen ülkeye gelir beyan edip vergisini ödediğini belirterek, Gürcistan hesap kalemlerinden kaynaklanan karın Türkiye'de kurumlar vergisinden istisna olup olmadığı, söz konusu işin yıllara sirayet eden iş olarak değerlendirilip değerlendirilmeyeceği  ile merkeziniz tarafından söz konusu ülkedeki şubenize inşaat, proje ve </w:t>
      </w:r>
      <w:proofErr w:type="spellStart"/>
      <w:r w:rsidRPr="00592985">
        <w:rPr>
          <w:rFonts w:ascii="Arial" w:eastAsia="Times New Roman" w:hAnsi="Arial" w:cs="Arial"/>
          <w:color w:val="777777"/>
          <w:sz w:val="20"/>
          <w:szCs w:val="20"/>
          <w:lang w:eastAsia="tr-TR"/>
        </w:rPr>
        <w:t>mobilizasyon</w:t>
      </w:r>
      <w:proofErr w:type="spellEnd"/>
      <w:r w:rsidRPr="00592985">
        <w:rPr>
          <w:rFonts w:ascii="Arial" w:eastAsia="Times New Roman" w:hAnsi="Arial" w:cs="Arial"/>
          <w:color w:val="777777"/>
          <w:sz w:val="20"/>
          <w:szCs w:val="20"/>
          <w:lang w:eastAsia="tr-TR"/>
        </w:rPr>
        <w:t xml:space="preserve"> işleri için kesilen fatura tutarlarının kurumlar vergisinden istisna edilip edilmeyeceği hususlarında Başkanlığımız görüşlerini sormaktasınız.</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Bilindiği üzere, 5520 sayılı Kurumlar Vergisi Kanununun 5 inci maddesinin birinci fıkrasının (h) bendinde, yurt dışında yapılan inşaat, onarım, montaj işleri ile teknik hizmetlerden sağlanarak Türkiye'de genel sonuç hesaplarına intikal ettirilen kazançların kurumlar vergisinden istisna olduğu hükmü  yer almaktadır.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proofErr w:type="gramStart"/>
      <w:r w:rsidRPr="00592985">
        <w:rPr>
          <w:rFonts w:ascii="Arial" w:eastAsia="Times New Roman" w:hAnsi="Arial" w:cs="Arial"/>
          <w:color w:val="777777"/>
          <w:sz w:val="20"/>
          <w:szCs w:val="20"/>
          <w:lang w:eastAsia="tr-TR"/>
        </w:rPr>
        <w:t>03/04/2007</w:t>
      </w:r>
      <w:proofErr w:type="gramEnd"/>
      <w:r w:rsidRPr="00592985">
        <w:rPr>
          <w:rFonts w:ascii="Arial" w:eastAsia="Times New Roman" w:hAnsi="Arial" w:cs="Arial"/>
          <w:color w:val="777777"/>
          <w:sz w:val="20"/>
          <w:szCs w:val="20"/>
          <w:lang w:eastAsia="tr-TR"/>
        </w:rPr>
        <w:t xml:space="preserve"> tarih ve 26482 sayılı Resmi Gazete'de yayımlanan 1 seri no.lu Kurumlar Vergisi Genel Tebliği'nin "5.9. Yurt dışında yapılan inşaat, onarım, montaj işleri ile teknik hizmetlerden sağlanan kazançlarda istisna" başlıklı bölümünde,</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Kurumlar Vergisi Kanununun 5 inci maddesinin birinci fıkrasının (h) bendi ile yurt dışında yapılan inşaat, onarım, montaj işleri ile teknik hizmetlerden sağlanarak Türkiye'de genel sonuç hesaplarına aktarılan kazançlar, herhangi bir koşula bağlanmaksızın kurumlar vergisinden istisna edilmiştir.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Kurumlar Vergisi Kanununun 5 inci maddesinin birinci fıkrasının (g) bendinde, kurumların yurt dışında bulunan işyerleri veya daimi temsilcileri aracılığıyla elde ettikleri kazançlar, maddede belirtilen tarihe kadar Türkiye'ye transfer edilmiş olmak ve en az %15 oranında gelir ve kurumlar vergisi benzeri vergi yükü taşımak koşuluyla vergiden istisna edilmiştir.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Benzer şekilde, anılan fıkranın (h) bendi ile de yurt dışında bulunan işyerleri veya daimi temsilcileri aracılığıyla yapılan ve yurt dışında vergilendirilen inşaat, onarım, montaj işleri ile teknik hizmetlerden sağlanan kazançların (vergi yükü oranına bakılmaksızın), ayrıca yurt içinde de vergilendirilmesinin önüne geçilmesi amacıyla bu kazançlar kurumlar vergisinden  istisna edilmiştir.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lastRenderedPageBreak/>
        <w:t>Teknik hizmetlerden elde edilen kazançların da anılan istisnadan yararlanabilmesi için bu işlerin yurt dışında bulunan işyerleri veya daimi temsilciler aracılığıyla yapılması</w:t>
      </w:r>
      <w:r w:rsidRPr="00592985">
        <w:rPr>
          <w:rFonts w:ascii="Arial" w:eastAsia="Times New Roman" w:hAnsi="Arial" w:cs="Arial"/>
          <w:color w:val="777777"/>
          <w:sz w:val="20"/>
          <w:szCs w:val="20"/>
          <w:u w:val="single"/>
          <w:lang w:eastAsia="tr-TR"/>
        </w:rPr>
        <w:t>;</w:t>
      </w:r>
      <w:r w:rsidRPr="00592985">
        <w:rPr>
          <w:rFonts w:ascii="Arial" w:eastAsia="Times New Roman" w:hAnsi="Arial" w:cs="Arial"/>
          <w:color w:val="777777"/>
          <w:sz w:val="20"/>
          <w:szCs w:val="20"/>
          <w:lang w:eastAsia="tr-TR"/>
        </w:rPr>
        <w:t xml:space="preserve"> yurt dışında ayrıca bir işyeri veya daimi temsilci olmadan yapılan teknik hizmetlerin, hizmet ihracatı olarak değerlendirilmesi gerekmektedir. Ayrıca, teknik hizmetlerin yurt dışındaki inşaat, onarım ve montaj işlerine bağlı olarak yapılma şartı bulunmamaktadır.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İnşaat, onarım ve montaj işlerinin yurt dışında gerçekleştirilmesi için bir işyeri bulunması gerekirken, bu işlere bağlı teknik hizmetlerin yurt dışında herhangi bir işyeri olmaksızın Türkiye'den gerçekleştirilebilmesi de mümkün olabilmektedir. </w:t>
      </w:r>
      <w:proofErr w:type="gramStart"/>
      <w:r w:rsidRPr="00592985">
        <w:rPr>
          <w:rFonts w:ascii="Arial" w:eastAsia="Times New Roman" w:hAnsi="Arial" w:cs="Arial"/>
          <w:color w:val="777777"/>
          <w:sz w:val="20"/>
          <w:szCs w:val="20"/>
          <w:lang w:eastAsia="tr-TR"/>
        </w:rPr>
        <w:t xml:space="preserve">Proje hazırlanması gibi teknik hizmetler, inşaat ve onarma işinin tamamlayıcı bir unsuru olmasına karşın; kurumların yurt dışında devam eden bir inşaat ve onarma işi olmadığı ya da ayrıca bir işyeri veya daimi temsilci bulundurulmadığı durumlarda, bu faaliyetin ihracat olarak değerlendirilmesi gerekmekte olup yurt dışındaki inşaat işine bağlı olarak Türkiye'de yapılan teknik hizmetlerden sağlanan kazançların bu istisnadan yararlandırılması mümkün bulunmamaktadır. </w:t>
      </w:r>
      <w:proofErr w:type="gramEnd"/>
      <w:r w:rsidRPr="00592985">
        <w:rPr>
          <w:rFonts w:ascii="Arial" w:eastAsia="Times New Roman" w:hAnsi="Arial" w:cs="Arial"/>
          <w:color w:val="777777"/>
          <w:sz w:val="20"/>
          <w:szCs w:val="20"/>
          <w:lang w:eastAsia="tr-TR"/>
        </w:rPr>
        <w:t xml:space="preserve">Dolayısıyla, </w:t>
      </w:r>
      <w:r w:rsidRPr="00592985">
        <w:rPr>
          <w:rFonts w:ascii="Arial" w:eastAsia="Times New Roman" w:hAnsi="Arial" w:cs="Arial"/>
          <w:b/>
          <w:bCs/>
          <w:color w:val="777777"/>
          <w:sz w:val="20"/>
          <w:lang w:eastAsia="tr-TR"/>
        </w:rPr>
        <w:t>kurumların yurt dışında bir inşaat ve onarım işi varsa, buna bağlı teknik hizmetler ister Türkiye'de isterse yurt dışında yapılsın, elde edilen kazançlar istisnadan yararlanabilecektir.</w:t>
      </w:r>
      <w:r w:rsidRPr="00592985">
        <w:rPr>
          <w:rFonts w:ascii="Arial" w:eastAsia="Times New Roman" w:hAnsi="Arial" w:cs="Arial"/>
          <w:color w:val="777777"/>
          <w:sz w:val="20"/>
          <w:szCs w:val="20"/>
          <w:lang w:eastAsia="tr-TR"/>
        </w:rPr>
        <w:t xml:space="preserve"> </w:t>
      </w:r>
      <w:r w:rsidRPr="00592985">
        <w:rPr>
          <w:rFonts w:ascii="Arial" w:eastAsia="Times New Roman" w:hAnsi="Arial" w:cs="Arial"/>
          <w:b/>
          <w:bCs/>
          <w:color w:val="777777"/>
          <w:sz w:val="20"/>
          <w:lang w:eastAsia="tr-TR"/>
        </w:rPr>
        <w:t>Kurumların yurt dışında yaptıkları bir inşaat ve onarım işinin bulunmaması halinde ise ancak yurt dışında bir işyeri veya daimi temsilci aracılığıyla</w:t>
      </w:r>
      <w:r w:rsidRPr="00592985">
        <w:rPr>
          <w:rFonts w:ascii="Arial" w:eastAsia="Times New Roman" w:hAnsi="Arial" w:cs="Arial"/>
          <w:color w:val="777777"/>
          <w:sz w:val="20"/>
          <w:szCs w:val="20"/>
          <w:lang w:eastAsia="tr-TR"/>
        </w:rPr>
        <w:t xml:space="preserve"> </w:t>
      </w:r>
      <w:r w:rsidRPr="00592985">
        <w:rPr>
          <w:rFonts w:ascii="Arial" w:eastAsia="Times New Roman" w:hAnsi="Arial" w:cs="Arial"/>
          <w:b/>
          <w:bCs/>
          <w:color w:val="777777"/>
          <w:sz w:val="20"/>
          <w:lang w:eastAsia="tr-TR"/>
        </w:rPr>
        <w:t>yaptıkları teknik hizmetlerden elde edilen kazançlar istisnadan yararlanılabilecektir.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Bu istisnanın uygulanması açısından, yurt dışında yapılan inşaat, onarım, montaj işleri ile teknik hizmetlerden sağlanan kazançların Türkiye'ye getirilmesi zorunluluğu bulunmamaktadır. Söz konusu kazançların Türkiye'de genel sonuç hesaplarına intikal ettirilmesi istisnadan yararlanılması için yeterlidir.</w:t>
      </w:r>
      <w:r w:rsidRPr="00592985">
        <w:rPr>
          <w:rFonts w:ascii="Arial" w:eastAsia="Times New Roman" w:hAnsi="Arial" w:cs="Arial"/>
          <w:color w:val="777777"/>
          <w:sz w:val="20"/>
          <w:szCs w:val="20"/>
          <w:u w:val="single"/>
          <w:lang w:eastAsia="tr-TR"/>
        </w:rPr>
        <w:t xml:space="preserve"> </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Öte yandan, yurt dışındaki şubelerden elde edilen kazançların genel sonuç hesaplarına intikal ettirilmesinde, faaliyette bulunulan yabancı ülkenin mevzuatına göre hesap döneminin kapandığı tarih itibarıyla </w:t>
      </w:r>
      <w:r w:rsidRPr="00592985">
        <w:rPr>
          <w:rFonts w:ascii="Arial" w:eastAsia="Times New Roman" w:hAnsi="Arial" w:cs="Arial"/>
          <w:b/>
          <w:bCs/>
          <w:color w:val="777777"/>
          <w:sz w:val="20"/>
          <w:lang w:eastAsia="tr-TR"/>
        </w:rPr>
        <w:t>ilgili ülke mevzuatına göre tespit edilen faaliyet sonucu,</w:t>
      </w:r>
      <w:r w:rsidRPr="00592985">
        <w:rPr>
          <w:rFonts w:ascii="Arial" w:eastAsia="Times New Roman" w:hAnsi="Arial" w:cs="Arial"/>
          <w:color w:val="777777"/>
          <w:sz w:val="20"/>
          <w:szCs w:val="20"/>
          <w:lang w:eastAsia="tr-TR"/>
        </w:rPr>
        <w:t xml:space="preserve"> </w:t>
      </w:r>
      <w:r w:rsidRPr="00592985">
        <w:rPr>
          <w:rFonts w:ascii="Arial" w:eastAsia="Times New Roman" w:hAnsi="Arial" w:cs="Arial"/>
          <w:b/>
          <w:bCs/>
          <w:color w:val="777777"/>
          <w:sz w:val="20"/>
          <w:lang w:eastAsia="tr-TR"/>
        </w:rPr>
        <w:t>Türkiye'de de aynı tarih itibarıyla genel sonuç hesaplarına kaydedilecektir.</w:t>
      </w:r>
      <w:r w:rsidRPr="00592985">
        <w:rPr>
          <w:rFonts w:ascii="Arial" w:eastAsia="Times New Roman" w:hAnsi="Arial" w:cs="Arial"/>
          <w:color w:val="777777"/>
          <w:sz w:val="20"/>
          <w:szCs w:val="20"/>
          <w:lang w:eastAsia="tr-TR"/>
        </w:rPr>
        <w:t xml:space="preserve"> Bu hususun Türkiye'de genel sonuç hesaplarına intikal ettirilmesinde, kazancın kambiyo mevzuatına göre fiilen Türkiye'ye getirilmesinin herhangi bir etkisi olmayacaktır. Faaliyette bulunulan yabancı ülkede kazanca tasarruf edilebilmesi yeterlidir.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Türkiye'de genel sonuç hesaplarına intikal ettirilen kazanç, hesaplara intikal ettirilmesi gereken tarihte T.C. Merkez Bankasının o gün için tespit ve ilan ettiği döviz alış kurlarıyla değerlendirilecektir. T.C. Merkez Bankasınca tespit ve ilan olunmayan yabancı paralarda ise Maliye Bakanlığının Vergi Usul Kanunu hükümlerine göre tespit ve ilan ettiği kurlar dikkate alınacaktır.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Yurt dışı faaliyet sonucunda elde edilen kazançlar elde edildiği dönem itibarıyla, Türkiye'de ilgili olduğu geçici vergi matrahının tespitinde de dikkate alınacaktır. </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proofErr w:type="gramStart"/>
      <w:r w:rsidRPr="00592985">
        <w:rPr>
          <w:rFonts w:ascii="Arial" w:eastAsia="Times New Roman" w:hAnsi="Arial" w:cs="Arial"/>
          <w:color w:val="777777"/>
          <w:sz w:val="20"/>
          <w:szCs w:val="20"/>
          <w:lang w:eastAsia="tr-TR"/>
        </w:rPr>
        <w:t>.......</w:t>
      </w:r>
      <w:proofErr w:type="gramEnd"/>
      <w:r w:rsidRPr="00592985">
        <w:rPr>
          <w:rFonts w:ascii="Arial" w:eastAsia="Times New Roman" w:hAnsi="Arial" w:cs="Arial"/>
          <w:color w:val="777777"/>
          <w:sz w:val="20"/>
          <w:szCs w:val="20"/>
          <w:lang w:eastAsia="tr-TR"/>
        </w:rPr>
        <w:t>"</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proofErr w:type="gramStart"/>
      <w:r w:rsidRPr="00592985">
        <w:rPr>
          <w:rFonts w:ascii="Arial" w:eastAsia="Times New Roman" w:hAnsi="Arial" w:cs="Arial"/>
          <w:color w:val="777777"/>
          <w:sz w:val="20"/>
          <w:szCs w:val="20"/>
          <w:lang w:eastAsia="tr-TR"/>
        </w:rPr>
        <w:t>açıklamalarına</w:t>
      </w:r>
      <w:proofErr w:type="gramEnd"/>
      <w:r w:rsidRPr="00592985">
        <w:rPr>
          <w:rFonts w:ascii="Arial" w:eastAsia="Times New Roman" w:hAnsi="Arial" w:cs="Arial"/>
          <w:color w:val="777777"/>
          <w:sz w:val="20"/>
          <w:szCs w:val="20"/>
          <w:lang w:eastAsia="tr-TR"/>
        </w:rPr>
        <w:t xml:space="preserve"> yer verilmiştir.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lastRenderedPageBreak/>
        <w:t>Bu hüküm ve açıklamalara göre, merkezi Türkiye'de bulunan şirketiniz tarafından Gürcistan'da bulunan işyeri aracılığıyla yurt dışında yapılan inşaat, onarım, montaj işleri ile teknik hizmetlerden sağlanan ve ilgili ülke mevzuatına göre tespit edilen</w:t>
      </w:r>
      <w:r w:rsidRPr="00592985">
        <w:rPr>
          <w:rFonts w:ascii="Arial" w:eastAsia="Times New Roman" w:hAnsi="Arial" w:cs="Arial"/>
          <w:b/>
          <w:bCs/>
          <w:color w:val="777777"/>
          <w:sz w:val="20"/>
          <w:lang w:eastAsia="tr-TR"/>
        </w:rPr>
        <w:t xml:space="preserve"> </w:t>
      </w:r>
      <w:r w:rsidRPr="00592985">
        <w:rPr>
          <w:rFonts w:ascii="Arial" w:eastAsia="Times New Roman" w:hAnsi="Arial" w:cs="Arial"/>
          <w:color w:val="777777"/>
          <w:sz w:val="20"/>
          <w:szCs w:val="20"/>
          <w:lang w:eastAsia="tr-TR"/>
        </w:rPr>
        <w:t>kazançların, Türkiye'de genel sonuç hesaplarına intikal ettirilmesi şartıyla kurumlar vergisinden istisna edilmesi mümkün bulunmaktadır.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Öte yandan, yurt dışında yapılan bir inşaat ve onarım işinden bağımsız olarak verilen teknik hizmetlerden elde edilen kazançların ise bu hizmetlerin yurt dışında bir işyeri veya daimi temsilci aracılığıyla yapılması halinde istisnaya konu edilebileceği tabiidir.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Bilgi edinilmesini rica ederim.  </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bl>
      <w:tblPr>
        <w:tblW w:w="0" w:type="auto"/>
        <w:tblCellSpacing w:w="0" w:type="dxa"/>
        <w:tblCellMar>
          <w:left w:w="0" w:type="dxa"/>
          <w:right w:w="0" w:type="dxa"/>
        </w:tblCellMar>
        <w:tblLook w:val="04A0"/>
      </w:tblPr>
      <w:tblGrid>
        <w:gridCol w:w="6075"/>
        <w:gridCol w:w="3105"/>
      </w:tblGrid>
      <w:tr w:rsidR="00592985" w:rsidRPr="00592985" w:rsidTr="00592985">
        <w:trPr>
          <w:tblCellSpacing w:w="0" w:type="dxa"/>
        </w:trPr>
        <w:tc>
          <w:tcPr>
            <w:tcW w:w="607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tc>
        <w:tc>
          <w:tcPr>
            <w:tcW w:w="3105" w:type="dxa"/>
            <w:tcBorders>
              <w:top w:val="single" w:sz="6" w:space="0" w:color="DDDDDD"/>
              <w:left w:val="single" w:sz="6" w:space="0" w:color="DDDDDD"/>
              <w:bottom w:val="single" w:sz="6" w:space="0" w:color="DDDDDD"/>
              <w:right w:val="single" w:sz="6" w:space="0" w:color="DDDDDD"/>
            </w:tcBorders>
            <w:tcMar>
              <w:top w:w="60" w:type="dxa"/>
              <w:left w:w="180" w:type="dxa"/>
              <w:bottom w:w="75" w:type="dxa"/>
              <w:right w:w="180" w:type="dxa"/>
            </w:tcMar>
            <w:hideMark/>
          </w:tcPr>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Vergi Dairesi Başkanı a.</w:t>
            </w:r>
          </w:p>
          <w:p w:rsidR="00592985" w:rsidRPr="00592985" w:rsidRDefault="00592985" w:rsidP="00592985">
            <w:pPr>
              <w:spacing w:before="100" w:beforeAutospacing="1" w:after="300" w:line="330" w:lineRule="atLeast"/>
              <w:jc w:val="center"/>
              <w:rPr>
                <w:rFonts w:ascii="Arial" w:eastAsia="Times New Roman" w:hAnsi="Arial" w:cs="Arial"/>
                <w:color w:val="777777"/>
                <w:sz w:val="20"/>
                <w:szCs w:val="20"/>
                <w:lang w:eastAsia="tr-TR"/>
              </w:rPr>
            </w:pPr>
            <w:r w:rsidRPr="00592985">
              <w:rPr>
                <w:rFonts w:ascii="Arial" w:eastAsia="Times New Roman" w:hAnsi="Arial" w:cs="Arial"/>
                <w:b/>
                <w:bCs/>
                <w:color w:val="777777"/>
                <w:sz w:val="20"/>
                <w:lang w:eastAsia="tr-TR"/>
              </w:rPr>
              <w:t>Grup Müdürü</w:t>
            </w:r>
          </w:p>
        </w:tc>
      </w:tr>
    </w:tbl>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w:t>
      </w:r>
      <w:r w:rsidRPr="00592985">
        <w:rPr>
          <w:rFonts w:ascii="Arial" w:eastAsia="Times New Roman" w:hAnsi="Arial" w:cs="Arial"/>
          <w:b/>
          <w:bCs/>
          <w:color w:val="777777"/>
          <w:sz w:val="20"/>
          <w:lang w:eastAsia="tr-TR"/>
        </w:rPr>
        <w:t>*</w:t>
      </w:r>
      <w:r w:rsidRPr="00592985">
        <w:rPr>
          <w:rFonts w:ascii="Arial" w:eastAsia="Times New Roman" w:hAnsi="Arial" w:cs="Arial"/>
          <w:color w:val="777777"/>
          <w:sz w:val="20"/>
          <w:szCs w:val="20"/>
          <w:lang w:eastAsia="tr-TR"/>
        </w:rPr>
        <w:t xml:space="preserve">)     Bu </w:t>
      </w:r>
      <w:proofErr w:type="spellStart"/>
      <w:r w:rsidRPr="00592985">
        <w:rPr>
          <w:rFonts w:ascii="Arial" w:eastAsia="Times New Roman" w:hAnsi="Arial" w:cs="Arial"/>
          <w:color w:val="777777"/>
          <w:sz w:val="20"/>
          <w:szCs w:val="20"/>
          <w:lang w:eastAsia="tr-TR"/>
        </w:rPr>
        <w:t>Özelge</w:t>
      </w:r>
      <w:proofErr w:type="spellEnd"/>
      <w:r w:rsidRPr="00592985">
        <w:rPr>
          <w:rFonts w:ascii="Arial" w:eastAsia="Times New Roman" w:hAnsi="Arial" w:cs="Arial"/>
          <w:color w:val="777777"/>
          <w:sz w:val="20"/>
          <w:szCs w:val="20"/>
          <w:lang w:eastAsia="tr-TR"/>
        </w:rPr>
        <w:t xml:space="preserve"> 213 sayılı Vergi Usul Kanununun 413.maddesine dayanılarak verilmiştir.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w:t>
      </w:r>
      <w:r w:rsidRPr="00592985">
        <w:rPr>
          <w:rFonts w:ascii="Arial" w:eastAsia="Times New Roman" w:hAnsi="Arial" w:cs="Arial"/>
          <w:b/>
          <w:bCs/>
          <w:color w:val="777777"/>
          <w:sz w:val="20"/>
          <w:lang w:eastAsia="tr-TR"/>
        </w:rPr>
        <w:t>**</w:t>
      </w:r>
      <w:r w:rsidRPr="00592985">
        <w:rPr>
          <w:rFonts w:ascii="Arial" w:eastAsia="Times New Roman" w:hAnsi="Arial" w:cs="Arial"/>
          <w:color w:val="777777"/>
          <w:sz w:val="20"/>
          <w:szCs w:val="20"/>
          <w:lang w:eastAsia="tr-TR"/>
        </w:rPr>
        <w:t xml:space="preserve">)   İnceleme, yargı ya da uzlaşmada olduğu halde bu konuya ilişkin olarak yanlış bilgi verilmiş ise bu </w:t>
      </w:r>
      <w:proofErr w:type="spellStart"/>
      <w:r w:rsidRPr="00592985">
        <w:rPr>
          <w:rFonts w:ascii="Arial" w:eastAsia="Times New Roman" w:hAnsi="Arial" w:cs="Arial"/>
          <w:color w:val="777777"/>
          <w:sz w:val="20"/>
          <w:szCs w:val="20"/>
          <w:lang w:eastAsia="tr-TR"/>
        </w:rPr>
        <w:t>özelge</w:t>
      </w:r>
      <w:proofErr w:type="spellEnd"/>
      <w:r w:rsidRPr="00592985">
        <w:rPr>
          <w:rFonts w:ascii="Arial" w:eastAsia="Times New Roman" w:hAnsi="Arial" w:cs="Arial"/>
          <w:color w:val="777777"/>
          <w:sz w:val="20"/>
          <w:szCs w:val="20"/>
          <w:lang w:eastAsia="tr-TR"/>
        </w:rPr>
        <w:t xml:space="preserve"> geçersizdir.</w:t>
      </w:r>
    </w:p>
    <w:p w:rsidR="00592985" w:rsidRPr="00592985" w:rsidRDefault="00592985" w:rsidP="00592985">
      <w:pPr>
        <w:spacing w:before="100" w:beforeAutospacing="1" w:after="300" w:line="330" w:lineRule="atLeast"/>
        <w:rPr>
          <w:rFonts w:ascii="Arial" w:eastAsia="Times New Roman" w:hAnsi="Arial" w:cs="Arial"/>
          <w:color w:val="777777"/>
          <w:sz w:val="20"/>
          <w:szCs w:val="20"/>
          <w:lang w:eastAsia="tr-TR"/>
        </w:rPr>
      </w:pPr>
      <w:r w:rsidRPr="00592985">
        <w:rPr>
          <w:rFonts w:ascii="Arial" w:eastAsia="Times New Roman" w:hAnsi="Arial" w:cs="Arial"/>
          <w:color w:val="777777"/>
          <w:sz w:val="20"/>
          <w:szCs w:val="20"/>
          <w:lang w:eastAsia="tr-TR"/>
        </w:rPr>
        <w:t xml:space="preserve">(***) Talebiniz üzerine tayin edilmiş olan bu </w:t>
      </w:r>
      <w:proofErr w:type="spellStart"/>
      <w:r w:rsidRPr="00592985">
        <w:rPr>
          <w:rFonts w:ascii="Arial" w:eastAsia="Times New Roman" w:hAnsi="Arial" w:cs="Arial"/>
          <w:color w:val="777777"/>
          <w:sz w:val="20"/>
          <w:szCs w:val="20"/>
          <w:lang w:eastAsia="tr-TR"/>
        </w:rPr>
        <w:t>özelgeye</w:t>
      </w:r>
      <w:proofErr w:type="spellEnd"/>
      <w:r w:rsidRPr="00592985">
        <w:rPr>
          <w:rFonts w:ascii="Arial" w:eastAsia="Times New Roman" w:hAnsi="Arial" w:cs="Arial"/>
          <w:color w:val="777777"/>
          <w:sz w:val="20"/>
          <w:szCs w:val="20"/>
          <w:lang w:eastAsia="tr-TR"/>
        </w:rPr>
        <w:t xml:space="preserve"> uygun işlem yapmanız hâlinde, bu fiilleriniz dolayısıyla vergi tarh edilmesi icap ederse, tarafınıza vergi cezası kesilmeyecek ve tarh edilen vergi için gecikme faizi hesaplanmayacaktır.</w:t>
      </w:r>
    </w:p>
    <w:p w:rsidR="005B75B8" w:rsidRDefault="005B75B8"/>
    <w:sectPr w:rsidR="005B75B8" w:rsidSect="005B7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55E9"/>
    <w:multiLevelType w:val="multilevel"/>
    <w:tmpl w:val="2D6C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985"/>
    <w:rsid w:val="00592985"/>
    <w:rsid w:val="005B75B8"/>
    <w:rsid w:val="00A36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B8"/>
  </w:style>
  <w:style w:type="paragraph" w:styleId="Balk1">
    <w:name w:val="heading 1"/>
    <w:basedOn w:val="Normal"/>
    <w:link w:val="Balk1Char"/>
    <w:uiPriority w:val="9"/>
    <w:qFormat/>
    <w:rsid w:val="00592985"/>
    <w:pPr>
      <w:spacing w:after="450" w:line="240" w:lineRule="auto"/>
      <w:outlineLvl w:val="0"/>
    </w:pPr>
    <w:rPr>
      <w:rFonts w:ascii="Arial" w:eastAsia="Times New Roman" w:hAnsi="Arial" w:cs="Arial"/>
      <w:color w:val="111111"/>
      <w:kern w:val="36"/>
      <w:sz w:val="48"/>
      <w:szCs w:val="48"/>
      <w:lang w:eastAsia="tr-TR"/>
    </w:rPr>
  </w:style>
  <w:style w:type="paragraph" w:styleId="Balk2">
    <w:name w:val="heading 2"/>
    <w:basedOn w:val="Normal"/>
    <w:link w:val="Balk2Char"/>
    <w:uiPriority w:val="9"/>
    <w:qFormat/>
    <w:rsid w:val="00592985"/>
    <w:pPr>
      <w:spacing w:after="450" w:line="240" w:lineRule="auto"/>
      <w:outlineLvl w:val="1"/>
    </w:pPr>
    <w:rPr>
      <w:rFonts w:ascii="Arial" w:eastAsia="Times New Roman" w:hAnsi="Arial" w:cs="Arial"/>
      <w:color w:val="111111"/>
      <w:sz w:val="41"/>
      <w:szCs w:val="41"/>
      <w:lang w:eastAsia="tr-TR"/>
    </w:rPr>
  </w:style>
  <w:style w:type="paragraph" w:styleId="Balk4">
    <w:name w:val="heading 4"/>
    <w:basedOn w:val="Normal"/>
    <w:link w:val="Balk4Char"/>
    <w:uiPriority w:val="9"/>
    <w:qFormat/>
    <w:rsid w:val="00592985"/>
    <w:pPr>
      <w:spacing w:after="450" w:line="240" w:lineRule="auto"/>
      <w:outlineLvl w:val="3"/>
    </w:pPr>
    <w:rPr>
      <w:rFonts w:ascii="Arial" w:eastAsia="Times New Roman" w:hAnsi="Arial" w:cs="Arial"/>
      <w:color w:val="11111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2985"/>
    <w:rPr>
      <w:rFonts w:ascii="Arial" w:eastAsia="Times New Roman" w:hAnsi="Arial" w:cs="Arial"/>
      <w:color w:val="111111"/>
      <w:kern w:val="36"/>
      <w:sz w:val="48"/>
      <w:szCs w:val="48"/>
      <w:lang w:eastAsia="tr-TR"/>
    </w:rPr>
  </w:style>
  <w:style w:type="character" w:customStyle="1" w:styleId="Balk2Char">
    <w:name w:val="Başlık 2 Char"/>
    <w:basedOn w:val="VarsaylanParagrafYazTipi"/>
    <w:link w:val="Balk2"/>
    <w:uiPriority w:val="9"/>
    <w:rsid w:val="00592985"/>
    <w:rPr>
      <w:rFonts w:ascii="Arial" w:eastAsia="Times New Roman" w:hAnsi="Arial" w:cs="Arial"/>
      <w:color w:val="111111"/>
      <w:sz w:val="41"/>
      <w:szCs w:val="41"/>
      <w:lang w:eastAsia="tr-TR"/>
    </w:rPr>
  </w:style>
  <w:style w:type="character" w:customStyle="1" w:styleId="Balk4Char">
    <w:name w:val="Başlık 4 Char"/>
    <w:basedOn w:val="VarsaylanParagrafYazTipi"/>
    <w:link w:val="Balk4"/>
    <w:uiPriority w:val="9"/>
    <w:rsid w:val="00592985"/>
    <w:rPr>
      <w:rFonts w:ascii="Arial" w:eastAsia="Times New Roman" w:hAnsi="Arial" w:cs="Arial"/>
      <w:color w:val="111111"/>
      <w:sz w:val="24"/>
      <w:szCs w:val="24"/>
      <w:lang w:eastAsia="tr-TR"/>
    </w:rPr>
  </w:style>
  <w:style w:type="character" w:styleId="Kpr">
    <w:name w:val="Hyperlink"/>
    <w:basedOn w:val="VarsaylanParagrafYazTipi"/>
    <w:uiPriority w:val="99"/>
    <w:semiHidden/>
    <w:unhideWhenUsed/>
    <w:rsid w:val="00592985"/>
    <w:rPr>
      <w:strike w:val="0"/>
      <w:dstrike w:val="0"/>
      <w:color w:val="E6474E"/>
      <w:u w:val="none"/>
      <w:effect w:val="none"/>
    </w:rPr>
  </w:style>
  <w:style w:type="character" w:styleId="Gl">
    <w:name w:val="Strong"/>
    <w:basedOn w:val="VarsaylanParagrafYazTipi"/>
    <w:uiPriority w:val="22"/>
    <w:qFormat/>
    <w:rsid w:val="00592985"/>
    <w:rPr>
      <w:b/>
      <w:bCs/>
    </w:rPr>
  </w:style>
  <w:style w:type="paragraph" w:styleId="NormalWeb">
    <w:name w:val="Normal (Web)"/>
    <w:basedOn w:val="Normal"/>
    <w:uiPriority w:val="99"/>
    <w:unhideWhenUsed/>
    <w:rsid w:val="00592985"/>
    <w:pPr>
      <w:spacing w:before="100" w:beforeAutospacing="1" w:after="300" w:line="240" w:lineRule="auto"/>
    </w:pPr>
    <w:rPr>
      <w:rFonts w:ascii="Times New Roman" w:eastAsia="Times New Roman" w:hAnsi="Times New Roman" w:cs="Times New Roman"/>
      <w:sz w:val="24"/>
      <w:szCs w:val="24"/>
      <w:lang w:eastAsia="tr-TR"/>
    </w:rPr>
  </w:style>
  <w:style w:type="character" w:customStyle="1" w:styleId="element-invisible">
    <w:name w:val="element-invisible"/>
    <w:basedOn w:val="VarsaylanParagrafYazTipi"/>
    <w:rsid w:val="00592985"/>
  </w:style>
  <w:style w:type="character" w:customStyle="1" w:styleId="date-display-single">
    <w:name w:val="date-display-single"/>
    <w:basedOn w:val="VarsaylanParagrafYazTipi"/>
    <w:rsid w:val="00592985"/>
  </w:style>
</w:styles>
</file>

<file path=word/webSettings.xml><?xml version="1.0" encoding="utf-8"?>
<w:webSettings xmlns:r="http://schemas.openxmlformats.org/officeDocument/2006/relationships" xmlns:w="http://schemas.openxmlformats.org/wordprocessingml/2006/main">
  <w:divs>
    <w:div w:id="1000347849">
      <w:bodyDiv w:val="1"/>
      <w:marLeft w:val="0"/>
      <w:marRight w:val="0"/>
      <w:marTop w:val="0"/>
      <w:marBottom w:val="0"/>
      <w:divBdr>
        <w:top w:val="none" w:sz="0" w:space="0" w:color="auto"/>
        <w:left w:val="none" w:sz="0" w:space="0" w:color="auto"/>
        <w:bottom w:val="none" w:sz="0" w:space="0" w:color="auto"/>
        <w:right w:val="none" w:sz="0" w:space="0" w:color="auto"/>
      </w:divBdr>
      <w:divsChild>
        <w:div w:id="2069188745">
          <w:marLeft w:val="0"/>
          <w:marRight w:val="0"/>
          <w:marTop w:val="0"/>
          <w:marBottom w:val="0"/>
          <w:divBdr>
            <w:top w:val="none" w:sz="0" w:space="0" w:color="auto"/>
            <w:left w:val="none" w:sz="0" w:space="0" w:color="auto"/>
            <w:bottom w:val="none" w:sz="0" w:space="0" w:color="auto"/>
            <w:right w:val="none" w:sz="0" w:space="0" w:color="auto"/>
          </w:divBdr>
          <w:divsChild>
            <w:div w:id="1360669126">
              <w:marLeft w:val="0"/>
              <w:marRight w:val="0"/>
              <w:marTop w:val="0"/>
              <w:marBottom w:val="0"/>
              <w:divBdr>
                <w:top w:val="none" w:sz="0" w:space="0" w:color="auto"/>
                <w:left w:val="none" w:sz="0" w:space="0" w:color="auto"/>
                <w:bottom w:val="none" w:sz="0" w:space="0" w:color="auto"/>
                <w:right w:val="none" w:sz="0" w:space="0" w:color="auto"/>
              </w:divBdr>
              <w:divsChild>
                <w:div w:id="1519810170">
                  <w:marLeft w:val="0"/>
                  <w:marRight w:val="0"/>
                  <w:marTop w:val="0"/>
                  <w:marBottom w:val="0"/>
                  <w:divBdr>
                    <w:top w:val="none" w:sz="0" w:space="0" w:color="auto"/>
                    <w:left w:val="none" w:sz="0" w:space="0" w:color="auto"/>
                    <w:bottom w:val="none" w:sz="0" w:space="0" w:color="auto"/>
                    <w:right w:val="none" w:sz="0" w:space="0" w:color="auto"/>
                  </w:divBdr>
                  <w:divsChild>
                    <w:div w:id="104690545">
                      <w:marLeft w:val="0"/>
                      <w:marRight w:val="0"/>
                      <w:marTop w:val="0"/>
                      <w:marBottom w:val="0"/>
                      <w:divBdr>
                        <w:top w:val="none" w:sz="0" w:space="0" w:color="auto"/>
                        <w:left w:val="none" w:sz="0" w:space="0" w:color="auto"/>
                        <w:bottom w:val="none" w:sz="0" w:space="0" w:color="auto"/>
                        <w:right w:val="none" w:sz="0" w:space="0" w:color="auto"/>
                      </w:divBdr>
                      <w:divsChild>
                        <w:div w:id="1761639830">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152983627">
                                  <w:marLeft w:val="0"/>
                                  <w:marRight w:val="0"/>
                                  <w:marTop w:val="0"/>
                                  <w:marBottom w:val="0"/>
                                  <w:divBdr>
                                    <w:top w:val="none" w:sz="0" w:space="0" w:color="auto"/>
                                    <w:left w:val="none" w:sz="0" w:space="0" w:color="auto"/>
                                    <w:bottom w:val="none" w:sz="0" w:space="0" w:color="auto"/>
                                    <w:right w:val="none" w:sz="0" w:space="0" w:color="auto"/>
                                  </w:divBdr>
                                  <w:divsChild>
                                    <w:div w:id="85884899">
                                      <w:marLeft w:val="0"/>
                                      <w:marRight w:val="0"/>
                                      <w:marTop w:val="0"/>
                                      <w:marBottom w:val="0"/>
                                      <w:divBdr>
                                        <w:top w:val="none" w:sz="0" w:space="0" w:color="auto"/>
                                        <w:left w:val="none" w:sz="0" w:space="0" w:color="auto"/>
                                        <w:bottom w:val="none" w:sz="0" w:space="0" w:color="auto"/>
                                        <w:right w:val="none" w:sz="0" w:space="0" w:color="auto"/>
                                      </w:divBdr>
                                      <w:divsChild>
                                        <w:div w:id="891114695">
                                          <w:marLeft w:val="0"/>
                                          <w:marRight w:val="0"/>
                                          <w:marTop w:val="0"/>
                                          <w:marBottom w:val="0"/>
                                          <w:divBdr>
                                            <w:top w:val="none" w:sz="0" w:space="0" w:color="auto"/>
                                            <w:left w:val="none" w:sz="0" w:space="0" w:color="auto"/>
                                            <w:bottom w:val="none" w:sz="0" w:space="0" w:color="auto"/>
                                            <w:right w:val="none" w:sz="0" w:space="0" w:color="auto"/>
                                          </w:divBdr>
                                          <w:divsChild>
                                            <w:div w:id="1999766092">
                                              <w:marLeft w:val="0"/>
                                              <w:marRight w:val="0"/>
                                              <w:marTop w:val="0"/>
                                              <w:marBottom w:val="0"/>
                                              <w:divBdr>
                                                <w:top w:val="none" w:sz="0" w:space="0" w:color="auto"/>
                                                <w:left w:val="none" w:sz="0" w:space="0" w:color="auto"/>
                                                <w:bottom w:val="none" w:sz="0" w:space="0" w:color="auto"/>
                                                <w:right w:val="none" w:sz="0" w:space="0" w:color="auto"/>
                                              </w:divBdr>
                                            </w:div>
                                            <w:div w:id="47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01587">
              <w:marLeft w:val="0"/>
              <w:marRight w:val="0"/>
              <w:marTop w:val="0"/>
              <w:marBottom w:val="0"/>
              <w:divBdr>
                <w:top w:val="none" w:sz="0" w:space="0" w:color="auto"/>
                <w:left w:val="none" w:sz="0" w:space="0" w:color="auto"/>
                <w:bottom w:val="none" w:sz="0" w:space="0" w:color="auto"/>
                <w:right w:val="none" w:sz="0" w:space="0" w:color="auto"/>
              </w:divBdr>
              <w:divsChild>
                <w:div w:id="91513830">
                  <w:marLeft w:val="0"/>
                  <w:marRight w:val="0"/>
                  <w:marTop w:val="0"/>
                  <w:marBottom w:val="0"/>
                  <w:divBdr>
                    <w:top w:val="none" w:sz="0" w:space="0" w:color="auto"/>
                    <w:left w:val="none" w:sz="0" w:space="0" w:color="auto"/>
                    <w:bottom w:val="none" w:sz="0" w:space="0" w:color="auto"/>
                    <w:right w:val="none" w:sz="0" w:space="0" w:color="auto"/>
                  </w:divBdr>
                </w:div>
                <w:div w:id="323976885">
                  <w:marLeft w:val="0"/>
                  <w:marRight w:val="0"/>
                  <w:marTop w:val="0"/>
                  <w:marBottom w:val="0"/>
                  <w:divBdr>
                    <w:top w:val="none" w:sz="0" w:space="0" w:color="auto"/>
                    <w:left w:val="none" w:sz="0" w:space="0" w:color="auto"/>
                    <w:bottom w:val="none" w:sz="0" w:space="0" w:color="auto"/>
                    <w:right w:val="none" w:sz="0" w:space="0" w:color="auto"/>
                  </w:divBdr>
                  <w:divsChild>
                    <w:div w:id="641234516">
                      <w:marLeft w:val="0"/>
                      <w:marRight w:val="0"/>
                      <w:marTop w:val="0"/>
                      <w:marBottom w:val="0"/>
                      <w:divBdr>
                        <w:top w:val="none" w:sz="0" w:space="0" w:color="auto"/>
                        <w:left w:val="none" w:sz="0" w:space="0" w:color="auto"/>
                        <w:bottom w:val="none" w:sz="0" w:space="0" w:color="auto"/>
                        <w:right w:val="none" w:sz="0" w:space="0" w:color="auto"/>
                      </w:divBdr>
                      <w:divsChild>
                        <w:div w:id="21714884">
                          <w:marLeft w:val="0"/>
                          <w:marRight w:val="0"/>
                          <w:marTop w:val="0"/>
                          <w:marBottom w:val="0"/>
                          <w:divBdr>
                            <w:top w:val="none" w:sz="0" w:space="0" w:color="auto"/>
                            <w:left w:val="none" w:sz="0" w:space="0" w:color="auto"/>
                            <w:bottom w:val="none" w:sz="0" w:space="0" w:color="auto"/>
                            <w:right w:val="none" w:sz="0" w:space="0" w:color="auto"/>
                          </w:divBdr>
                          <w:divsChild>
                            <w:div w:id="548567467">
                              <w:marLeft w:val="0"/>
                              <w:marRight w:val="0"/>
                              <w:marTop w:val="0"/>
                              <w:marBottom w:val="0"/>
                              <w:divBdr>
                                <w:top w:val="none" w:sz="0" w:space="0" w:color="auto"/>
                                <w:left w:val="none" w:sz="0" w:space="0" w:color="auto"/>
                                <w:bottom w:val="none" w:sz="0" w:space="0" w:color="auto"/>
                                <w:right w:val="none" w:sz="0" w:space="0" w:color="auto"/>
                              </w:divBdr>
                            </w:div>
                            <w:div w:id="1015233970">
                              <w:marLeft w:val="0"/>
                              <w:marRight w:val="0"/>
                              <w:marTop w:val="0"/>
                              <w:marBottom w:val="0"/>
                              <w:divBdr>
                                <w:top w:val="none" w:sz="0" w:space="0" w:color="auto"/>
                                <w:left w:val="none" w:sz="0" w:space="0" w:color="auto"/>
                                <w:bottom w:val="none" w:sz="0" w:space="0" w:color="auto"/>
                                <w:right w:val="none" w:sz="0" w:space="0" w:color="auto"/>
                              </w:divBdr>
                            </w:div>
                          </w:divsChild>
                        </w:div>
                        <w:div w:id="451636633">
                          <w:marLeft w:val="0"/>
                          <w:marRight w:val="0"/>
                          <w:marTop w:val="0"/>
                          <w:marBottom w:val="0"/>
                          <w:divBdr>
                            <w:top w:val="none" w:sz="0" w:space="0" w:color="auto"/>
                            <w:left w:val="none" w:sz="0" w:space="0" w:color="auto"/>
                            <w:bottom w:val="none" w:sz="0" w:space="0" w:color="auto"/>
                            <w:right w:val="none" w:sz="0" w:space="0" w:color="auto"/>
                          </w:divBdr>
                          <w:divsChild>
                            <w:div w:id="86537263">
                              <w:marLeft w:val="0"/>
                              <w:marRight w:val="0"/>
                              <w:marTop w:val="0"/>
                              <w:marBottom w:val="0"/>
                              <w:divBdr>
                                <w:top w:val="none" w:sz="0" w:space="0" w:color="auto"/>
                                <w:left w:val="none" w:sz="0" w:space="0" w:color="auto"/>
                                <w:bottom w:val="none" w:sz="0" w:space="0" w:color="auto"/>
                                <w:right w:val="none" w:sz="0" w:space="0" w:color="auto"/>
                              </w:divBdr>
                              <w:divsChild>
                                <w:div w:id="397093913">
                                  <w:marLeft w:val="0"/>
                                  <w:marRight w:val="0"/>
                                  <w:marTop w:val="0"/>
                                  <w:marBottom w:val="0"/>
                                  <w:divBdr>
                                    <w:top w:val="none" w:sz="0" w:space="0" w:color="auto"/>
                                    <w:left w:val="none" w:sz="0" w:space="0" w:color="auto"/>
                                    <w:bottom w:val="none" w:sz="0" w:space="0" w:color="auto"/>
                                    <w:right w:val="none" w:sz="0" w:space="0" w:color="auto"/>
                                  </w:divBdr>
                                </w:div>
                                <w:div w:id="1920014121">
                                  <w:marLeft w:val="0"/>
                                  <w:marRight w:val="0"/>
                                  <w:marTop w:val="0"/>
                                  <w:marBottom w:val="0"/>
                                  <w:divBdr>
                                    <w:top w:val="none" w:sz="0" w:space="0" w:color="auto"/>
                                    <w:left w:val="none" w:sz="0" w:space="0" w:color="auto"/>
                                    <w:bottom w:val="none" w:sz="0" w:space="0" w:color="auto"/>
                                    <w:right w:val="none" w:sz="0" w:space="0" w:color="auto"/>
                                  </w:divBdr>
                                  <w:divsChild>
                                    <w:div w:id="1368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0026">
                              <w:marLeft w:val="0"/>
                              <w:marRight w:val="0"/>
                              <w:marTop w:val="0"/>
                              <w:marBottom w:val="0"/>
                              <w:divBdr>
                                <w:top w:val="none" w:sz="0" w:space="0" w:color="auto"/>
                                <w:left w:val="none" w:sz="0" w:space="0" w:color="auto"/>
                                <w:bottom w:val="none" w:sz="0" w:space="0" w:color="auto"/>
                                <w:right w:val="none" w:sz="0" w:space="0" w:color="auto"/>
                              </w:divBdr>
                              <w:divsChild>
                                <w:div w:id="1747264471">
                                  <w:marLeft w:val="0"/>
                                  <w:marRight w:val="0"/>
                                  <w:marTop w:val="0"/>
                                  <w:marBottom w:val="0"/>
                                  <w:divBdr>
                                    <w:top w:val="none" w:sz="0" w:space="0" w:color="auto"/>
                                    <w:left w:val="none" w:sz="0" w:space="0" w:color="auto"/>
                                    <w:bottom w:val="none" w:sz="0" w:space="0" w:color="auto"/>
                                    <w:right w:val="none" w:sz="0" w:space="0" w:color="auto"/>
                                  </w:divBdr>
                                </w:div>
                                <w:div w:id="1885367572">
                                  <w:marLeft w:val="0"/>
                                  <w:marRight w:val="0"/>
                                  <w:marTop w:val="0"/>
                                  <w:marBottom w:val="0"/>
                                  <w:divBdr>
                                    <w:top w:val="none" w:sz="0" w:space="0" w:color="auto"/>
                                    <w:left w:val="none" w:sz="0" w:space="0" w:color="auto"/>
                                    <w:bottom w:val="none" w:sz="0" w:space="0" w:color="auto"/>
                                    <w:right w:val="none" w:sz="0" w:space="0" w:color="auto"/>
                                  </w:divBdr>
                                  <w:divsChild>
                                    <w:div w:id="21176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02">
                          <w:marLeft w:val="0"/>
                          <w:marRight w:val="0"/>
                          <w:marTop w:val="0"/>
                          <w:marBottom w:val="0"/>
                          <w:divBdr>
                            <w:top w:val="none" w:sz="0" w:space="0" w:color="auto"/>
                            <w:left w:val="none" w:sz="0" w:space="0" w:color="auto"/>
                            <w:bottom w:val="none" w:sz="0" w:space="0" w:color="auto"/>
                            <w:right w:val="none" w:sz="0" w:space="0" w:color="auto"/>
                          </w:divBdr>
                          <w:divsChild>
                            <w:div w:id="1387222022">
                              <w:marLeft w:val="0"/>
                              <w:marRight w:val="0"/>
                              <w:marTop w:val="0"/>
                              <w:marBottom w:val="0"/>
                              <w:divBdr>
                                <w:top w:val="none" w:sz="0" w:space="0" w:color="auto"/>
                                <w:left w:val="none" w:sz="0" w:space="0" w:color="auto"/>
                                <w:bottom w:val="none" w:sz="0" w:space="0" w:color="auto"/>
                                <w:right w:val="none" w:sz="0" w:space="0" w:color="auto"/>
                              </w:divBdr>
                              <w:divsChild>
                                <w:div w:id="977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gov.tr/node/96042" TargetMode="External"/><Relationship Id="rId3" Type="http://schemas.openxmlformats.org/officeDocument/2006/relationships/settings" Target="settings.xml"/><Relationship Id="rId7" Type="http://schemas.openxmlformats.org/officeDocument/2006/relationships/hyperlink" Target="http://www.gib.gov.tr/node/9604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node/96042/pdf" TargetMode="External"/><Relationship Id="rId5" Type="http://schemas.openxmlformats.org/officeDocument/2006/relationships/hyperlink" Target="http://www.gib.gov.tr/node/960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2017-12-02T14:11:00Z</dcterms:created>
  <dcterms:modified xsi:type="dcterms:W3CDTF">2017-12-02T14:13:00Z</dcterms:modified>
</cp:coreProperties>
</file>